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a40ea6052481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8465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BEREK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654.705,75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741.521,01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651.016,78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721.995,37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3.688,97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19.525,64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13.457,73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17.049,45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13.457,73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17.049,45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4.254,72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4.254,72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4.254,72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4.254,72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14.023,48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1.778,53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12,7</w:t>
            </w:r>
          </w:p>
        </w:tc>
      </w:tr>
    </w:tbl>
    <w:p>
      <w:pPr>
        <w:spacing w:before="0" w:after="0"/>
      </w:pPr>
    </w:p>
    <w:p>
      <w:r>
        <w:t xml:space="preserve">U izvještajom razdoblju od 01.01.2025. do 31.12.2025. godine pri Osnovnoj školi Berek ostvareni su ukupni prihodi poslovanja u iznosu od 741.521,01 eura, dok su ukupni rashodi iznosili 721.995,37 eura.  Na kraju izvještajnog razdoblja imamo manjak prihoda i primitaka u iznosu od 1.778,53 eura, koji su rezultat nedoznačenih sredstva.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654.705,75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741.521,01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Ostvarenje prihoda poslovanja u izvještajnom razdoblju tekuće godine veće je u odnosu na ostvarenje u prethodnom razdoblju radi povećanja prihoda za zaposlene (povećanje osnovice plaće).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651.016,78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721.995,37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</w:tbl>
    <w:p>
      <w:pPr>
        <w:spacing w:before="0" w:after="0"/>
      </w:pPr>
    </w:p>
    <w:p>
      <w:r>
        <w:t xml:space="preserve">Rashodi poslovanja u izvještajnom razdoblju tekuće godine veći su nego u izvještajnom razdoblju prethodne godine radi povećanja osnovice plaće, cijene energenata i većih putnih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13.457,73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17.049,45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r>
        <w:t xml:space="preserve">Rashodi za nabavu nefinancijske imovine u izvještajnom radoblju tekuće godine veći su nego prethodne godine radi izrade projektno tehničke dokumentacije vezane uz nadogradnju školske ustanove i pratećeg igrališta.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13.457,73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17,8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manji su u odnosu na izvještajno razdoblje prethodne godine radi manje nabave imovine (u prethodnom radoblju nabavljena je nova imovina za kuhinju, te klima uređaji).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Osnovna škola Berek je u veljači 2025. godine prešla na jedinstveni račun Bjelovarsko bilogorske županije, te je sva svoja financijska sredstva prenesla na jedinstveni račun.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6.775,69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izvještajog razdoblja iznosi 6775,69 eura, a rezultat su obaveza za leasing kredit za nabavljeno kombi vozilo koje služi za prijevoz učenika.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b1692acf2648e0" /></Relationships>
</file>